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74B72A0"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96648E">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E65A92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expedida </w:t>
      </w:r>
      <w:r w:rsidRPr="0096648E">
        <w:rPr>
          <w:rFonts w:ascii="Arial" w:hAnsi="Arial" w:cs="Arial"/>
          <w:sz w:val="22"/>
          <w:szCs w:val="22"/>
        </w:rPr>
        <w:t>pela (o) .................., e CPF nº .........................,</w:t>
      </w:r>
      <w:r w:rsidR="009872FB" w:rsidRPr="0096648E">
        <w:rPr>
          <w:rFonts w:ascii="Arial" w:hAnsi="Arial" w:cs="Arial"/>
          <w:sz w:val="22"/>
          <w:szCs w:val="22"/>
        </w:rPr>
        <w:t xml:space="preserve"> </w:t>
      </w:r>
      <w:r w:rsidR="009872FB" w:rsidRPr="0096648E">
        <w:rPr>
          <w:rFonts w:ascii="Arial" w:hAnsi="Arial" w:cs="Arial"/>
          <w:i/>
          <w:iCs/>
          <w:sz w:val="22"/>
          <w:szCs w:val="22"/>
          <w:lang w:val="pt-PT"/>
        </w:rPr>
        <w:t xml:space="preserve">conforme atos constitutivos da empresa </w:t>
      </w:r>
      <w:r w:rsidR="009872FB" w:rsidRPr="0096648E">
        <w:rPr>
          <w:rFonts w:ascii="Arial" w:hAnsi="Arial" w:cs="Arial"/>
          <w:b/>
          <w:bCs/>
          <w:i/>
          <w:iCs/>
          <w:sz w:val="22"/>
          <w:szCs w:val="22"/>
          <w:lang w:val="pt-PT"/>
        </w:rPr>
        <w:t>OU</w:t>
      </w:r>
      <w:r w:rsidR="009872FB" w:rsidRPr="0096648E">
        <w:rPr>
          <w:rFonts w:ascii="Arial" w:hAnsi="Arial" w:cs="Arial"/>
          <w:i/>
          <w:iCs/>
          <w:sz w:val="22"/>
          <w:szCs w:val="22"/>
          <w:lang w:val="pt-PT"/>
        </w:rPr>
        <w:t xml:space="preserve"> procuração apresentada nos autos</w:t>
      </w:r>
      <w:r w:rsidRPr="0096648E">
        <w:rPr>
          <w:rFonts w:ascii="Arial" w:hAnsi="Arial" w:cs="Arial"/>
          <w:sz w:val="22"/>
          <w:szCs w:val="22"/>
        </w:rPr>
        <w:t xml:space="preserve"> tendo em vista o que consta no </w:t>
      </w:r>
      <w:r w:rsidR="005466C3" w:rsidRPr="0096648E">
        <w:rPr>
          <w:rFonts w:ascii="Arial" w:hAnsi="Arial" w:cs="Arial"/>
          <w:b/>
          <w:bCs/>
          <w:sz w:val="22"/>
          <w:szCs w:val="22"/>
        </w:rPr>
        <w:t xml:space="preserve">Processo Administrativo nº </w:t>
      </w:r>
      <w:r w:rsidR="0096648E" w:rsidRPr="0096648E">
        <w:rPr>
          <w:rFonts w:ascii="Arial" w:hAnsi="Arial" w:cs="Arial"/>
          <w:b/>
          <w:bCs/>
          <w:sz w:val="22"/>
          <w:szCs w:val="22"/>
        </w:rPr>
        <w:t>19.792/2025</w:t>
      </w:r>
      <w:r w:rsidR="0071720D" w:rsidRPr="0096648E">
        <w:rPr>
          <w:rFonts w:ascii="Arial" w:hAnsi="Arial" w:cs="Arial"/>
          <w:b/>
          <w:bCs/>
          <w:sz w:val="22"/>
          <w:szCs w:val="22"/>
        </w:rPr>
        <w:t>,</w:t>
      </w:r>
      <w:r w:rsidR="005466C3" w:rsidRPr="0096648E">
        <w:rPr>
          <w:rFonts w:ascii="Arial" w:hAnsi="Arial" w:cs="Arial"/>
          <w:b/>
          <w:bCs/>
          <w:sz w:val="22"/>
          <w:szCs w:val="22"/>
        </w:rPr>
        <w:t xml:space="preserve"> </w:t>
      </w:r>
      <w:r w:rsidRPr="0096648E">
        <w:rPr>
          <w:rFonts w:ascii="Arial" w:hAnsi="Arial" w:cs="Arial"/>
          <w:sz w:val="22"/>
          <w:szCs w:val="22"/>
        </w:rPr>
        <w:t xml:space="preserve">e em observância às disposições da Lei nº </w:t>
      </w:r>
      <w:r w:rsidR="00F232EF" w:rsidRPr="0096648E">
        <w:rPr>
          <w:rFonts w:ascii="Arial" w:hAnsi="Arial" w:cs="Arial"/>
          <w:sz w:val="22"/>
          <w:szCs w:val="22"/>
        </w:rPr>
        <w:t xml:space="preserve">14.133, </w:t>
      </w:r>
      <w:r w:rsidR="009872FB" w:rsidRPr="0096648E">
        <w:rPr>
          <w:rFonts w:ascii="Arial" w:hAnsi="Arial" w:cs="Arial"/>
          <w:sz w:val="22"/>
          <w:szCs w:val="22"/>
        </w:rPr>
        <w:t xml:space="preserve">de 1º de abril </w:t>
      </w:r>
      <w:r w:rsidR="00F232EF" w:rsidRPr="0096648E">
        <w:rPr>
          <w:rFonts w:ascii="Arial" w:hAnsi="Arial" w:cs="Arial"/>
          <w:sz w:val="22"/>
          <w:szCs w:val="22"/>
        </w:rPr>
        <w:t>de 2021</w:t>
      </w:r>
      <w:r w:rsidR="0050761F" w:rsidRPr="0096648E">
        <w:rPr>
          <w:rFonts w:ascii="Arial" w:hAnsi="Arial" w:cs="Arial"/>
          <w:sz w:val="22"/>
          <w:szCs w:val="22"/>
        </w:rPr>
        <w:t xml:space="preserve"> </w:t>
      </w:r>
      <w:r w:rsidR="0050761F" w:rsidRPr="0096648E">
        <w:rPr>
          <w:rFonts w:ascii="Arial" w:hAnsi="Arial" w:cs="Arial"/>
          <w:sz w:val="22"/>
          <w:szCs w:val="22"/>
          <w:lang w:val="pt-PT"/>
        </w:rPr>
        <w:t xml:space="preserve">e </w:t>
      </w:r>
      <w:r w:rsidR="009872FB" w:rsidRPr="0096648E">
        <w:rPr>
          <w:rFonts w:ascii="Arial" w:hAnsi="Arial" w:cs="Arial"/>
          <w:sz w:val="22"/>
          <w:szCs w:val="22"/>
          <w:lang w:val="pt-PT"/>
        </w:rPr>
        <w:t>demais legislações aplicáveis</w:t>
      </w:r>
      <w:r w:rsidR="006306EF" w:rsidRPr="0096648E">
        <w:rPr>
          <w:rFonts w:ascii="Arial" w:hAnsi="Arial" w:cs="Arial"/>
          <w:sz w:val="22"/>
          <w:szCs w:val="22"/>
        </w:rPr>
        <w:t>,</w:t>
      </w:r>
      <w:r w:rsidRPr="0096648E">
        <w:rPr>
          <w:rFonts w:ascii="Arial" w:hAnsi="Arial" w:cs="Arial"/>
          <w:i/>
          <w:sz w:val="22"/>
          <w:szCs w:val="22"/>
        </w:rPr>
        <w:t xml:space="preserve"> </w:t>
      </w:r>
      <w:r w:rsidRPr="0096648E">
        <w:rPr>
          <w:rFonts w:ascii="Arial" w:hAnsi="Arial" w:cs="Arial"/>
          <w:sz w:val="22"/>
          <w:szCs w:val="22"/>
        </w:rPr>
        <w:t xml:space="preserve">resolvem celebrar o presente Termo de Contrato, decorrente do </w:t>
      </w:r>
      <w:r w:rsidR="005466C3" w:rsidRPr="0096648E">
        <w:rPr>
          <w:rFonts w:ascii="Arial" w:hAnsi="Arial" w:cs="Arial"/>
          <w:b/>
          <w:bCs/>
          <w:sz w:val="22"/>
          <w:szCs w:val="22"/>
        </w:rPr>
        <w:t>Pregão Eletrônico</w:t>
      </w:r>
      <w:r w:rsidR="000B23ED" w:rsidRPr="0096648E">
        <w:rPr>
          <w:rFonts w:ascii="Arial" w:hAnsi="Arial" w:cs="Arial"/>
          <w:b/>
          <w:bCs/>
          <w:sz w:val="22"/>
          <w:szCs w:val="22"/>
        </w:rPr>
        <w:t xml:space="preserve"> </w:t>
      </w:r>
      <w:r w:rsidR="005466C3" w:rsidRPr="0096648E">
        <w:rPr>
          <w:rFonts w:ascii="Arial" w:hAnsi="Arial" w:cs="Arial"/>
          <w:b/>
          <w:bCs/>
          <w:sz w:val="22"/>
          <w:szCs w:val="22"/>
        </w:rPr>
        <w:t xml:space="preserve">nº </w:t>
      </w:r>
      <w:r w:rsidR="0096648E" w:rsidRPr="0096648E">
        <w:rPr>
          <w:rFonts w:ascii="Arial" w:hAnsi="Arial" w:cs="Arial"/>
          <w:b/>
          <w:bCs/>
          <w:sz w:val="22"/>
          <w:szCs w:val="22"/>
        </w:rPr>
        <w:t>90.121/2025</w:t>
      </w:r>
      <w:r w:rsidRPr="0096648E">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28133BD"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96648E" w:rsidRPr="0096648E">
        <w:rPr>
          <w:rFonts w:ascii="Arial" w:eastAsia="Times New Roman" w:hAnsi="Arial" w:cs="Arial"/>
          <w:b/>
          <w:bCs/>
          <w:lang w:val="pt-BR" w:eastAsia="pt-BR"/>
        </w:rPr>
        <w:t>CONTRATAÇÃO DE EMPRESA ESPECIALIZADA PARA O FORNECIMENTO DE KIT ENXOVAL PARA RECÉM NASCIDO, para atender as necessidades do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0ADFB50" w14:textId="0F3DA316" w:rsidR="00B0084D" w:rsidRPr="008C13A3" w:rsidRDefault="00B0084D" w:rsidP="00B0084D">
      <w:pPr>
        <w:tabs>
          <w:tab w:val="left" w:pos="426"/>
        </w:tabs>
        <w:rPr>
          <w:rFonts w:ascii="Arial" w:hAnsi="Arial" w:cs="Arial"/>
          <w:bCs/>
          <w:iCs/>
          <w:lang w:val="pt-BR"/>
        </w:rPr>
      </w:pPr>
    </w:p>
    <w:p w14:paraId="68894C8D" w14:textId="57A1DC6A"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 xml:space="preserve">O prazo de vigência da contratação é de .............................. contados do(a) ............................., prorrogável por até 10 anos, na forma dos </w:t>
      </w:r>
      <w:hyperlink r:id="rId9" w:anchor="art106" w:history="1">
        <w:r w:rsidRPr="0096648E">
          <w:rPr>
            <w:rFonts w:ascii="Arial" w:hAnsi="Arial" w:cs="Arial"/>
            <w:bCs/>
            <w:iCs/>
          </w:rPr>
          <w:t>artigos 106 e 107 da Lei n° 14.133, de 2021</w:t>
        </w:r>
      </w:hyperlink>
      <w:r w:rsidRPr="0096648E">
        <w:rPr>
          <w:rFonts w:ascii="Arial" w:hAnsi="Arial" w:cs="Arial"/>
          <w:bCs/>
          <w:iCs/>
        </w:rPr>
        <w:t>.</w:t>
      </w:r>
    </w:p>
    <w:p w14:paraId="42385670" w14:textId="40583FB2" w:rsidR="007E7BBF"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96648E">
        <w:rPr>
          <w:rFonts w:ascii="Arial" w:hAnsi="Arial" w:cs="Arial"/>
          <w:bCs/>
          <w:iCs/>
        </w:rPr>
        <w:t>.</w:t>
      </w:r>
    </w:p>
    <w:p w14:paraId="27B1858E" w14:textId="26310923"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O contratado não tem direito subjetivo à prorrogação contratual.</w:t>
      </w:r>
    </w:p>
    <w:p w14:paraId="605D55A7" w14:textId="7CE278B1"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A prorrogação de contrato deverá ser promovida mediante celebração de termo aditivo.</w:t>
      </w:r>
    </w:p>
    <w:p w14:paraId="77ABC2ED" w14:textId="4D727842"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C94CBF7" w:rsidR="007B0D84" w:rsidRPr="002C671C" w:rsidRDefault="0096648E" w:rsidP="002C671C">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2C671C">
        <w:rPr>
          <w:rFonts w:ascii="Arial" w:hAnsi="Arial" w:cs="Arial"/>
          <w:bCs/>
          <w:iCs/>
          <w:u w:val="single"/>
        </w:rPr>
        <w:t>MODELO DE EXECUÇÃO DO OBJETO (arts. 6º, XXIII, alínea “e” e 40, §1º, inciso II, da Lei nº 14.133/2021)</w:t>
      </w:r>
      <w:r w:rsidR="002C671C" w:rsidRPr="002C671C">
        <w:rPr>
          <w:rFonts w:ascii="Arial" w:hAnsi="Arial" w:cs="Arial"/>
          <w:bCs/>
          <w:iCs/>
          <w:u w:val="single"/>
        </w:rPr>
        <w:t>:</w:t>
      </w:r>
    </w:p>
    <w:p w14:paraId="5AC9CAA4" w14:textId="4FF6FB0A"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prazo de entrega dos bens é de 30 (trinta) dias corridos, contados a partir do recebimento da nota de empenho, em remessa parcelada, conforme conveniência e necessidade das Unidades Requisitantes.</w:t>
      </w:r>
    </w:p>
    <w:p w14:paraId="032C573B" w14:textId="7F97F43C"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571B20F7" w14:textId="77777777" w:rsidR="002C671C" w:rsidRPr="002C671C" w:rsidRDefault="002C671C" w:rsidP="002C671C">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HOSPITAL MATERNIDADE DR. MÁRIO DUTRA DE CASTRO: Travessa Antônio Fernandes Moreira, nº 12 – Centro – Nova Friburgo/RJ. De Segunda-feira a sexta-feira no horário das 09:00h às 16:00h;</w:t>
      </w:r>
    </w:p>
    <w:p w14:paraId="46CC75DB" w14:textId="77777777" w:rsidR="002C671C" w:rsidRPr="002C671C" w:rsidRDefault="002C671C" w:rsidP="002C671C">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Horários: Segunda a Sexta, das 09h:00 às 16h:00, respeitando o horário de almoço entre 12h:00 às 13h:00;</w:t>
      </w:r>
    </w:p>
    <w:p w14:paraId="1423CC11" w14:textId="386F4356"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lastRenderedPageBreak/>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28DA1823" w14:textId="293FFE3C"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1DF4D7E0" w14:textId="1E3F5E48" w:rsidR="002C671C" w:rsidRPr="002C671C" w:rsidRDefault="002C671C" w:rsidP="002C671C">
      <w:pPr>
        <w:pStyle w:val="Nivel1"/>
        <w:numPr>
          <w:ilvl w:val="2"/>
          <w:numId w:val="2"/>
        </w:numPr>
        <w:spacing w:before="0" w:after="0" w:line="360" w:lineRule="auto"/>
        <w:ind w:left="0" w:firstLine="0"/>
        <w:rPr>
          <w:rFonts w:eastAsia="Verdana"/>
          <w:b w:val="0"/>
          <w:bCs/>
          <w:iCs/>
          <w:color w:val="auto"/>
          <w:sz w:val="22"/>
          <w:szCs w:val="22"/>
          <w:lang w:val="pt-PT"/>
        </w:rPr>
      </w:pPr>
      <w:r w:rsidRPr="002C671C">
        <w:rPr>
          <w:rFonts w:eastAsia="Verdana"/>
          <w:b w:val="0"/>
          <w:bCs/>
          <w:iCs/>
          <w:color w:val="auto"/>
          <w:sz w:val="22"/>
          <w:szCs w:val="22"/>
          <w:lang w:val="pt-PT"/>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550A64B8" w14:textId="79E862D5"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0944A3EF" w14:textId="77777777"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459704F3" w14:textId="093B2A69" w:rsid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3DD6C002" w14:textId="2754F038" w:rsidR="002C671C" w:rsidRPr="002C671C" w:rsidRDefault="002C671C" w:rsidP="002C671C">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2C671C">
        <w:rPr>
          <w:rFonts w:eastAsia="Verdana"/>
          <w:bCs/>
          <w:iCs/>
          <w:color w:val="auto"/>
          <w:sz w:val="22"/>
          <w:szCs w:val="22"/>
          <w:u w:val="single"/>
          <w:lang w:val="pt-PT" w:eastAsia="en-US"/>
        </w:rPr>
        <w:t>MODELO DE GESTÃO DO CONTRATO (art. 6º, XXIII, alínea “f”, da Lei nº 14.133/21):</w:t>
      </w:r>
    </w:p>
    <w:p w14:paraId="5A1AE0A2" w14:textId="77B96586"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3122EBDF" w14:textId="0E9D499B"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2C671C">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0AFD885C" w14:textId="5DCFC14B" w:rsidR="002C671C" w:rsidRPr="002C671C" w:rsidRDefault="002C671C" w:rsidP="002C671C">
      <w:pPr>
        <w:pStyle w:val="Nivel2"/>
        <w:spacing w:before="0" w:after="0" w:line="360" w:lineRule="auto"/>
        <w:rPr>
          <w:rFonts w:eastAsia="Verdana"/>
          <w:bCs/>
          <w:iCs/>
          <w:color w:val="auto"/>
          <w:sz w:val="22"/>
          <w:szCs w:val="22"/>
          <w:lang w:val="pt-PT" w:eastAsia="en-US"/>
        </w:rPr>
      </w:pPr>
      <w:bookmarkStart w:id="5" w:name="art116"/>
      <w:bookmarkEnd w:id="5"/>
      <w:r w:rsidRPr="002C671C">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3B64F54F" w14:textId="4CA6DDB9" w:rsidR="002C671C" w:rsidRPr="002C671C" w:rsidRDefault="002C671C" w:rsidP="002C671C">
      <w:pPr>
        <w:pStyle w:val="Nivel3"/>
        <w:tabs>
          <w:tab w:val="left" w:pos="450"/>
        </w:tabs>
        <w:spacing w:before="0" w:after="0" w:line="360" w:lineRule="auto"/>
        <w:ind w:left="0"/>
        <w:rPr>
          <w:rFonts w:eastAsia="Verdana"/>
          <w:bCs/>
          <w:iCs/>
          <w:color w:val="auto"/>
          <w:sz w:val="22"/>
          <w:szCs w:val="22"/>
          <w:lang w:val="pt-PT" w:eastAsia="en-US"/>
        </w:rPr>
      </w:pPr>
      <w:r w:rsidRPr="002C671C">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2B23A0E8" w14:textId="162FE810" w:rsidR="002C671C" w:rsidRPr="002C671C" w:rsidRDefault="002C671C" w:rsidP="002C671C">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2C671C">
        <w:rPr>
          <w:rFonts w:eastAsia="Verdana"/>
          <w:bCs/>
          <w:iCs/>
          <w:color w:val="auto"/>
          <w:sz w:val="22"/>
          <w:szCs w:val="22"/>
          <w:lang w:val="pt-PT" w:eastAsia="en-US"/>
        </w:rPr>
        <w:lastRenderedPageBreak/>
        <w:t>3.2.5 O fiscal do contrato informará a seus superiores, em tempo hábil para a adoção das medidas convenientes, a situação que demandar decisão ou providência que ultrapasse sua competência (Lei nº 14.133/2021, art. 117, §2º).</w:t>
      </w:r>
    </w:p>
    <w:p w14:paraId="10E0A985" w14:textId="42AA3AE9" w:rsidR="002C671C" w:rsidRPr="002C671C" w:rsidRDefault="002C671C" w:rsidP="002C671C">
      <w:pPr>
        <w:pStyle w:val="Nivel2"/>
        <w:spacing w:before="0" w:after="0" w:line="360" w:lineRule="auto"/>
        <w:rPr>
          <w:rFonts w:eastAsia="Verdana"/>
          <w:bCs/>
          <w:iCs/>
          <w:color w:val="auto"/>
          <w:sz w:val="22"/>
          <w:szCs w:val="22"/>
          <w:lang w:val="pt-PT" w:eastAsia="en-US"/>
        </w:rPr>
      </w:pPr>
      <w:r w:rsidRPr="002C671C">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123F649" w14:textId="47787C70"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2C671C">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0E6A488" w14:textId="17144670"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2C671C">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30C72B03" w14:textId="7424BD1D" w:rsidR="002C671C" w:rsidRPr="002C671C" w:rsidRDefault="002C671C" w:rsidP="002C671C">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2C671C">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5264928A" w14:textId="3A2F0BA1"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2C671C">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51A6128C" w14:textId="482472B5"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órgão ou entidade poderá convocar representante da empresa para adoção de providências que devam ser cumpridas de imediato.</w:t>
      </w:r>
    </w:p>
    <w:p w14:paraId="6B226849" w14:textId="12E2A05B" w:rsidR="002C671C" w:rsidRPr="002C671C" w:rsidRDefault="002C671C" w:rsidP="002C671C">
      <w:pPr>
        <w:pStyle w:val="Nivel2"/>
        <w:spacing w:before="0" w:after="0" w:line="360" w:lineRule="auto"/>
        <w:rPr>
          <w:rFonts w:eastAsia="Verdana"/>
          <w:bCs/>
          <w:iCs/>
          <w:color w:val="auto"/>
          <w:sz w:val="22"/>
          <w:szCs w:val="22"/>
          <w:lang w:val="pt-PT" w:eastAsia="en-US"/>
        </w:rPr>
      </w:pPr>
      <w:r w:rsidRPr="002C671C">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207BA26" w14:textId="7B19CE52"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F8BC6CA" w14:textId="036A0C78"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3.2.14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541D2926" w14:textId="7DC86765" w:rsidR="002C671C" w:rsidRPr="002C671C" w:rsidRDefault="002C671C" w:rsidP="002C671C">
      <w:pPr>
        <w:pStyle w:val="PargrafodaLista"/>
        <w:spacing w:line="360" w:lineRule="auto"/>
        <w:ind w:left="20" w:hangingChars="9" w:hanging="20"/>
        <w:jc w:val="both"/>
        <w:rPr>
          <w:rFonts w:ascii="Arial" w:hAnsi="Arial" w:cs="Arial"/>
          <w:bCs/>
          <w:iCs/>
        </w:rPr>
      </w:pPr>
      <w:r w:rsidRPr="002C671C">
        <w:rPr>
          <w:rFonts w:ascii="Arial" w:hAnsi="Arial" w:cs="Arial"/>
          <w:bCs/>
          <w:iCs/>
        </w:rPr>
        <w:lastRenderedPageBreak/>
        <w:t>3.2.15 O(s) fiscal(is) designado pela Contratante deverá ter a experiência necessária para o acompanhamento e controle da execução dos serviços e do contrato;</w:t>
      </w:r>
    </w:p>
    <w:p w14:paraId="5C1E2B0F" w14:textId="3D2A4E9C"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3.2.16 A verificação da adequação da prestação do serviço deverá ser realizada com base nos critérios previstos neste Termo de Referência;</w:t>
      </w:r>
    </w:p>
    <w:p w14:paraId="5D1D3084" w14:textId="154F2D73"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3.2.17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0B62923" w14:textId="77777777" w:rsidR="002C671C" w:rsidRPr="002C671C" w:rsidRDefault="002C671C" w:rsidP="002C671C">
      <w:pPr>
        <w:pStyle w:val="Nivel2"/>
        <w:suppressAutoHyphens/>
        <w:spacing w:before="0" w:after="0" w:line="360" w:lineRule="auto"/>
        <w:rPr>
          <w:rFonts w:eastAsia="Verdana"/>
          <w:bCs/>
          <w:iCs/>
          <w:color w:val="auto"/>
          <w:sz w:val="22"/>
          <w:szCs w:val="22"/>
          <w:lang w:val="pt-PT" w:eastAsia="en-US"/>
        </w:rPr>
      </w:pPr>
    </w:p>
    <w:p w14:paraId="22193CCF" w14:textId="061360DF" w:rsidR="00C634F1" w:rsidRPr="008C13A3" w:rsidRDefault="00C634F1" w:rsidP="002C671C">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1F81B78C" w:rsidR="00C634F1" w:rsidRPr="002C671C" w:rsidRDefault="00C634F1" w:rsidP="002C671C">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2C671C">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2C671C">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2C671C" w:rsidRDefault="00147B9F" w:rsidP="002C671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C671C">
        <w:rPr>
          <w:rFonts w:ascii="Arial" w:hAnsi="Arial" w:cs="Arial"/>
          <w:bCs/>
          <w:iCs/>
        </w:rPr>
        <w:t>O valor total da contratação é de R$.......... (.....)</w:t>
      </w:r>
    </w:p>
    <w:p w14:paraId="19E0CAC1" w14:textId="3066B963" w:rsidR="001D32DF" w:rsidRPr="002C671C" w:rsidRDefault="001D32DF" w:rsidP="002C671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C671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2C671C" w:rsidRDefault="00147B9F" w:rsidP="002C671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C671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2C671C">
      <w:pPr>
        <w:pStyle w:val="PargrafodaLista"/>
        <w:numPr>
          <w:ilvl w:val="0"/>
          <w:numId w:val="13"/>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7F22733" w14:textId="2E6C732C" w:rsidR="00005744" w:rsidRPr="00005744" w:rsidRDefault="00005744" w:rsidP="00005744">
      <w:pPr>
        <w:pStyle w:val="PargrafodaLista"/>
        <w:widowControl/>
        <w:numPr>
          <w:ilvl w:val="1"/>
          <w:numId w:val="13"/>
        </w:numPr>
        <w:suppressAutoHyphens/>
        <w:autoSpaceDE/>
        <w:autoSpaceDN/>
        <w:spacing w:before="0" w:line="360" w:lineRule="auto"/>
        <w:ind w:left="0" w:firstLine="0"/>
        <w:contextualSpacing/>
        <w:jc w:val="both"/>
        <w:rPr>
          <w:rFonts w:ascii="Arial" w:hAnsi="Arial" w:cs="Arial"/>
          <w:bCs/>
          <w:iCs/>
        </w:rPr>
      </w:pPr>
      <w:r w:rsidRPr="00005744">
        <w:rPr>
          <w:rFonts w:ascii="Arial" w:hAnsi="Arial" w:cs="Arial"/>
          <w:bCs/>
          <w:iCs/>
        </w:rPr>
        <w:t xml:space="preserve">As Notas Fiscais deverão ser emitidas em nome de: </w:t>
      </w:r>
      <w:r w:rsidRPr="00005744">
        <w:rPr>
          <w:rFonts w:ascii="Arial" w:hAnsi="Arial" w:cs="Arial"/>
          <w:b/>
          <w:iCs/>
        </w:rPr>
        <w:t>FUNDO MUNICIPAL DE SAÚDE, CNPJ: 11.399.442/0001-79 - AVENIDA ALBERTO BRAUNE, Nº 224, SALA 221, CENTRO, NOVA FRIBURGO/RJ, CEP 28613-001</w:t>
      </w:r>
      <w:r w:rsidRPr="00005744">
        <w:rPr>
          <w:rFonts w:ascii="Arial" w:hAnsi="Arial" w:cs="Arial"/>
          <w:bCs/>
          <w:iCs/>
        </w:rPr>
        <w:t>.</w:t>
      </w:r>
    </w:p>
    <w:p w14:paraId="34EDBDB5" w14:textId="1294C47B" w:rsidR="00005744" w:rsidRPr="00005744" w:rsidRDefault="00005744" w:rsidP="00005744">
      <w:pPr>
        <w:pStyle w:val="PargrafodaLista"/>
        <w:numPr>
          <w:ilvl w:val="1"/>
          <w:numId w:val="13"/>
        </w:numPr>
        <w:spacing w:before="0" w:line="360" w:lineRule="auto"/>
        <w:ind w:left="0" w:firstLine="0"/>
        <w:jc w:val="both"/>
        <w:rPr>
          <w:rFonts w:ascii="Arial" w:hAnsi="Arial" w:cs="Arial"/>
          <w:bCs/>
          <w:iCs/>
          <w:u w:val="single"/>
        </w:rPr>
      </w:pPr>
      <w:r w:rsidRPr="00005744">
        <w:rPr>
          <w:rFonts w:ascii="Arial" w:hAnsi="Arial" w:cs="Arial"/>
          <w:bCs/>
          <w:iCs/>
          <w:u w:val="single"/>
        </w:rPr>
        <w:t xml:space="preserve"> Da liquidação da despesa:</w:t>
      </w:r>
    </w:p>
    <w:p w14:paraId="4A241B53" w14:textId="77777777" w:rsidR="001E3D31" w:rsidRPr="001E3D31" w:rsidRDefault="001E3D31" w:rsidP="001E3D31">
      <w:pPr>
        <w:pStyle w:val="PargrafodaLista"/>
        <w:widowControl/>
        <w:numPr>
          <w:ilvl w:val="2"/>
          <w:numId w:val="13"/>
        </w:numPr>
        <w:suppressAutoHyphens/>
        <w:autoSpaceDE/>
        <w:autoSpaceDN/>
        <w:spacing w:before="0" w:line="360" w:lineRule="auto"/>
        <w:ind w:left="0" w:firstLine="0"/>
        <w:contextualSpacing/>
        <w:jc w:val="both"/>
        <w:rPr>
          <w:rFonts w:ascii="Arial" w:hAnsi="Arial" w:cs="Arial"/>
          <w:bCs/>
          <w:iCs/>
        </w:rPr>
      </w:pPr>
      <w:r w:rsidRPr="001E3D31">
        <w:rPr>
          <w:rFonts w:ascii="Arial" w:hAnsi="Arial" w:cs="Arial"/>
          <w:bCs/>
          <w:iCs/>
        </w:rPr>
        <w:t>A liquidação será realizada pela Secretaria de Fazenda, a partir do cumprimento das obrigações elencadas neste Termo de Referência, em obediência ao Decreto nº 2493, de 07 de novembro de 2023.</w:t>
      </w:r>
    </w:p>
    <w:p w14:paraId="4DFB64F6" w14:textId="01037884" w:rsidR="00005744" w:rsidRPr="00005744" w:rsidRDefault="00005744" w:rsidP="00005744">
      <w:pPr>
        <w:pStyle w:val="PargrafodaLista"/>
        <w:widowControl/>
        <w:numPr>
          <w:ilvl w:val="2"/>
          <w:numId w:val="16"/>
        </w:numPr>
        <w:suppressAutoHyphens/>
        <w:autoSpaceDE/>
        <w:autoSpaceDN/>
        <w:spacing w:before="0" w:line="360" w:lineRule="auto"/>
        <w:ind w:left="0" w:firstLine="0"/>
        <w:contextualSpacing/>
        <w:jc w:val="both"/>
        <w:rPr>
          <w:rFonts w:ascii="Arial" w:hAnsi="Arial" w:cs="Arial"/>
          <w:bCs/>
          <w:iCs/>
        </w:rPr>
      </w:pPr>
      <w:r w:rsidRPr="00005744">
        <w:rPr>
          <w:rFonts w:ascii="Arial" w:hAnsi="Arial" w:cs="Arial"/>
          <w:bCs/>
          <w:iCs/>
        </w:rPr>
        <w:t xml:space="preserve">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w:t>
      </w:r>
      <w:r w:rsidRPr="00005744">
        <w:rPr>
          <w:rFonts w:ascii="Arial" w:hAnsi="Arial" w:cs="Arial"/>
          <w:bCs/>
          <w:iCs/>
        </w:rPr>
        <w:lastRenderedPageBreak/>
        <w:t xml:space="preserve">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hyperlink r:id="rId10" w:history="1">
        <w:r w:rsidRPr="00005744">
          <w:rPr>
            <w:rFonts w:ascii="Arial" w:hAnsi="Arial" w:cs="Arial"/>
            <w:bCs/>
            <w:iCs/>
          </w:rPr>
          <w:t>https://pmnf.rj.gov.br/paginas-centralizadas/9_64_Legislacoes.html</w:t>
        </w:r>
      </w:hyperlink>
    </w:p>
    <w:p w14:paraId="4A9B17E9" w14:textId="2F66DF86" w:rsidR="00005744" w:rsidRPr="00005744" w:rsidRDefault="00005744" w:rsidP="00005744">
      <w:pPr>
        <w:spacing w:line="360" w:lineRule="auto"/>
        <w:jc w:val="both"/>
        <w:rPr>
          <w:rFonts w:ascii="Arial" w:hAnsi="Arial" w:cs="Arial"/>
          <w:bCs/>
          <w:iCs/>
          <w:u w:val="single"/>
        </w:rPr>
      </w:pPr>
      <w:r w:rsidRPr="00005744">
        <w:rPr>
          <w:rFonts w:ascii="Arial" w:hAnsi="Arial" w:cs="Arial"/>
          <w:bCs/>
          <w:iCs/>
          <w:u w:val="single"/>
        </w:rPr>
        <w:t>6.3 Do pagamento da despesa:</w:t>
      </w:r>
    </w:p>
    <w:p w14:paraId="50C1992A" w14:textId="738B16CB"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6.3.1 O pagamento será efetuado conforme estabelecido no Decreto Municipal nº 2493, de 07 de novembro de 2023, desde que as certidões listadas abaixo estejam dentro da validade:</w:t>
      </w:r>
    </w:p>
    <w:p w14:paraId="47EABC64"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Negativa de Débitos Trabalhistas; </w:t>
      </w:r>
    </w:p>
    <w:p w14:paraId="5E9FD78B"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Fazenda Federal – abrange as contribuições sociais; </w:t>
      </w:r>
    </w:p>
    <w:p w14:paraId="4FFB488C"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FGTS; </w:t>
      </w:r>
    </w:p>
    <w:p w14:paraId="3CAF57ED"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PGE – referente à Dívida Ativa Estadual; </w:t>
      </w:r>
    </w:p>
    <w:p w14:paraId="71CCEAE7"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Municipal – referente ao ISS e Dívida Ativa; </w:t>
      </w:r>
    </w:p>
    <w:p w14:paraId="2E1DC33D" w14:textId="43B16B71" w:rsidR="00005744" w:rsidRPr="00005744" w:rsidRDefault="00005744" w:rsidP="00005744">
      <w:pPr>
        <w:spacing w:line="360" w:lineRule="auto"/>
        <w:jc w:val="both"/>
        <w:rPr>
          <w:rFonts w:ascii="Arial" w:hAnsi="Arial" w:cs="Arial"/>
          <w:bCs/>
          <w:iCs/>
        </w:rPr>
      </w:pPr>
      <w:r w:rsidRPr="00005744">
        <w:rPr>
          <w:rFonts w:ascii="Arial" w:hAnsi="Arial" w:cs="Arial"/>
          <w:bCs/>
          <w:iCs/>
        </w:rPr>
        <w:t>- Estadual CND – referente ao ICMS.</w:t>
      </w:r>
    </w:p>
    <w:p w14:paraId="46D7D2FA" w14:textId="79E678C9"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 xml:space="preserve">6.3.2  A Nota Fiscal deverá conter a identificação do Banco, número da Agência e da Conta Corrente, para que possibilite o CONTRATANTE efetuar o pagamento do valor devido; </w:t>
      </w:r>
    </w:p>
    <w:p w14:paraId="60C59629" w14:textId="14C40905"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6.3.3 Na ocorrência de rejeição da(s) Nota(s) Fiscal (s), motivada por erro ou incorreções, o prazo para pagamento estipulado acima passará a ser contado a partir da data de sua reapresentação.</w:t>
      </w:r>
    </w:p>
    <w:p w14:paraId="171E9ED4" w14:textId="61F6FFE5"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CBFEF21" w14:textId="0F6E4ECF" w:rsidR="00005744" w:rsidRPr="00005744" w:rsidRDefault="00005744" w:rsidP="00005744">
      <w:pPr>
        <w:spacing w:line="360" w:lineRule="auto"/>
        <w:jc w:val="both"/>
        <w:rPr>
          <w:rFonts w:ascii="Arial" w:hAnsi="Arial" w:cs="Arial"/>
          <w:bCs/>
          <w:iCs/>
        </w:rPr>
      </w:pPr>
      <w:r w:rsidRPr="00005744">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7EEE49C2" w14:textId="77777777" w:rsidR="002C671C" w:rsidRPr="008C13A3" w:rsidRDefault="002C671C"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005744" w:rsidRDefault="0097688D"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005744">
        <w:rPr>
          <w:rFonts w:ascii="Arial" w:eastAsiaTheme="majorEastAsia" w:hAnsi="Arial" w:cs="Arial"/>
          <w:b/>
          <w:bCs/>
          <w:lang w:val="pt-BR" w:eastAsia="pt-BR"/>
        </w:rPr>
        <w:t>CLÁUSULA SÉTIMA - REAJUSTE (art. 92, V)</w:t>
      </w:r>
    </w:p>
    <w:p w14:paraId="6348F2F6" w14:textId="0941E199" w:rsidR="0097688D" w:rsidRPr="00005744" w:rsidRDefault="0097688D" w:rsidP="00005744">
      <w:pPr>
        <w:pStyle w:val="PargrafodaLista"/>
        <w:widowControl/>
        <w:numPr>
          <w:ilvl w:val="1"/>
          <w:numId w:val="16"/>
        </w:numPr>
        <w:autoSpaceDE/>
        <w:autoSpaceDN/>
        <w:spacing w:before="120" w:after="120" w:line="276" w:lineRule="auto"/>
        <w:ind w:left="0" w:firstLine="0"/>
        <w:jc w:val="both"/>
        <w:rPr>
          <w:rFonts w:ascii="Arial" w:hAnsi="Arial" w:cs="Arial"/>
          <w:bCs/>
          <w:iCs/>
        </w:rPr>
      </w:pPr>
      <w:r w:rsidRPr="0000574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005744">
        <w:rPr>
          <w:rFonts w:ascii="Arial" w:hAnsi="Arial" w:cs="Arial"/>
          <w:bCs/>
          <w:iCs/>
        </w:rPr>
        <w:t>Após o interregno de um ano, e independentemente de pedido do contratado</w:t>
      </w:r>
      <w:r w:rsidRPr="008C13A3">
        <w:rPr>
          <w:rFonts w:ascii="Arial" w:hAnsi="Arial" w:cs="Arial"/>
          <w:bCs/>
          <w:iCs/>
        </w:rPr>
        <w:t xml:space="preserve">, os preços iniciais serão reajustados, mediante a aplicação, pelo contratante, </w:t>
      </w:r>
      <w:r w:rsidRPr="008C13A3">
        <w:rPr>
          <w:rFonts w:ascii="Arial" w:hAnsi="Arial" w:cs="Arial"/>
          <w:bCs/>
          <w:iCs/>
          <w:lang w:val="pt-BR"/>
        </w:rPr>
        <w:t xml:space="preserve">do Índice Nacional de Preços ao Consumidor Amplo (IPCA), instituído pelo Instituto Brasileiro de Geografia e </w:t>
      </w:r>
      <w:r w:rsidRPr="008C13A3">
        <w:rPr>
          <w:rFonts w:ascii="Arial" w:hAnsi="Arial" w:cs="Arial"/>
          <w:bCs/>
          <w:iCs/>
          <w:lang w:val="pt-BR"/>
        </w:rPr>
        <w:lastRenderedPageBreak/>
        <w:t>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00574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w:t>
      </w:r>
      <w:r w:rsidRPr="008C13A3">
        <w:rPr>
          <w:rFonts w:ascii="Arial" w:hAnsi="Arial" w:cs="Arial"/>
          <w:bCs/>
          <w:iCs/>
          <w:lang w:val="pt-BR"/>
        </w:rPr>
        <w:lastRenderedPageBreak/>
        <w:t>impertinentes, meramente protelatórios ou de nenhum interesse para a boa execução do ajuste.</w:t>
      </w:r>
    </w:p>
    <w:p w14:paraId="7BEA1B30" w14:textId="53419478" w:rsidR="00A27B94" w:rsidRPr="0000574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005744">
        <w:rPr>
          <w:rFonts w:ascii="Arial" w:hAnsi="Arial" w:cs="Arial"/>
          <w:bCs/>
          <w:iCs/>
          <w:lang w:val="pt-BR"/>
        </w:rPr>
        <w:t xml:space="preserve"> A Administração terá o prazo de </w:t>
      </w:r>
      <w:r w:rsidRPr="00005744">
        <w:rPr>
          <w:rFonts w:ascii="Arial" w:hAnsi="Arial" w:cs="Arial"/>
          <w:bCs/>
          <w:iCs/>
        </w:rPr>
        <w:t>1 (um) mês</w:t>
      </w:r>
      <w:r w:rsidRPr="0000574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00574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005744">
        <w:rPr>
          <w:rFonts w:ascii="Arial" w:hAnsi="Arial" w:cs="Arial"/>
          <w:bCs/>
          <w:iCs/>
          <w:lang w:val="pt-BR"/>
        </w:rPr>
        <w:t xml:space="preserve">Responder eventuais pedidos de reestabelecimento do equilíbrio econômico-financeiro feitos pelo contratado no prazo máximo de </w:t>
      </w:r>
      <w:r w:rsidRPr="00005744">
        <w:rPr>
          <w:rFonts w:ascii="Arial" w:hAnsi="Arial" w:cs="Arial"/>
          <w:bCs/>
          <w:iCs/>
        </w:rPr>
        <w:t>1 (um) mês</w:t>
      </w:r>
      <w:r w:rsidRPr="00005744">
        <w:rPr>
          <w:rFonts w:ascii="Arial" w:hAnsi="Arial" w:cs="Arial"/>
          <w:bCs/>
          <w:iCs/>
          <w:lang w:val="pt-BR"/>
        </w:rPr>
        <w:t>.</w:t>
      </w:r>
    </w:p>
    <w:p w14:paraId="5080FE7D" w14:textId="1D31E059" w:rsidR="00A27B9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005744">
        <w:rPr>
          <w:rFonts w:ascii="Arial" w:hAnsi="Arial" w:cs="Arial"/>
          <w:bCs/>
          <w:iCs/>
          <w:lang w:val="pt-BR"/>
        </w:rPr>
        <w:t xml:space="preserve">A Administração não responderá por quaisquer compromissos </w:t>
      </w:r>
      <w:r w:rsidRPr="008C13A3">
        <w:rPr>
          <w:rFonts w:ascii="Arial" w:hAnsi="Arial" w:cs="Arial"/>
          <w:bCs/>
          <w:iCs/>
          <w:lang w:val="pt-BR"/>
        </w:rPr>
        <w:t>assumidos pelo Contratado com terceiros, ainda que vinculados à execução do contrato, bem como por qualquer dano causado a terceiros em decorrência de ato do Contratado, de seus empregados, prepostos ou subordinados.</w:t>
      </w:r>
    </w:p>
    <w:p w14:paraId="1D788828" w14:textId="77777777" w:rsidR="00005744" w:rsidRPr="008C13A3" w:rsidRDefault="00005744" w:rsidP="00005744">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w:t>
      </w:r>
      <w:r w:rsidRPr="008C13A3">
        <w:rPr>
          <w:rFonts w:ascii="Arial" w:hAnsi="Arial" w:cs="Arial"/>
          <w:bCs/>
          <w:iCs/>
          <w:lang w:val="pt-BR"/>
        </w:rPr>
        <w:lastRenderedPageBreak/>
        <w:t xml:space="preserve">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005744">
      <w:pPr>
        <w:pStyle w:val="Nivel2"/>
        <w:numPr>
          <w:ilvl w:val="1"/>
          <w:numId w:val="16"/>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005744">
      <w:pPr>
        <w:pStyle w:val="Nivel2"/>
        <w:numPr>
          <w:ilvl w:val="1"/>
          <w:numId w:val="16"/>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005744">
      <w:pPr>
        <w:pStyle w:val="Nivel2"/>
        <w:numPr>
          <w:ilvl w:val="1"/>
          <w:numId w:val="16"/>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005744">
      <w:pPr>
        <w:pStyle w:val="Nivel2"/>
        <w:numPr>
          <w:ilvl w:val="1"/>
          <w:numId w:val="16"/>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005744">
      <w:pPr>
        <w:pStyle w:val="Nivel2"/>
        <w:numPr>
          <w:ilvl w:val="1"/>
          <w:numId w:val="16"/>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005744">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005744">
      <w:pPr>
        <w:pStyle w:val="PargrafodaLista"/>
        <w:widowControl/>
        <w:numPr>
          <w:ilvl w:val="1"/>
          <w:numId w:val="16"/>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005744">
      <w:pPr>
        <w:pStyle w:val="PargrafodaLista"/>
        <w:widowControl/>
        <w:numPr>
          <w:ilvl w:val="3"/>
          <w:numId w:val="16"/>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18363D3" w:rsidR="002E43FD" w:rsidRDefault="002E43FD" w:rsidP="00005744">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1AF2E5C" w14:textId="597A3934" w:rsidR="00005744" w:rsidRPr="00D54A9E" w:rsidRDefault="00005744" w:rsidP="00D54A9E">
      <w:pPr>
        <w:pStyle w:val="PargrafodaLista"/>
        <w:numPr>
          <w:ilvl w:val="1"/>
          <w:numId w:val="16"/>
        </w:numPr>
        <w:spacing w:line="276" w:lineRule="auto"/>
        <w:ind w:left="0" w:firstLine="0"/>
        <w:jc w:val="both"/>
        <w:rPr>
          <w:rFonts w:ascii="Arial" w:hAnsi="Arial" w:cs="Arial"/>
        </w:rPr>
      </w:pPr>
      <w:r w:rsidRPr="00D54A9E">
        <w:rPr>
          <w:rFonts w:ascii="Arial" w:hAnsi="Arial" w:cs="Arial"/>
        </w:rPr>
        <w:t>As despesas decorrentes da presente contratação correrão à conta de recursos específicos consignados no Orçamento do Município, na forma abaixo:</w:t>
      </w:r>
    </w:p>
    <w:p w14:paraId="289254FE" w14:textId="77777777" w:rsidR="00005744" w:rsidRPr="00D54A9E" w:rsidRDefault="00005744" w:rsidP="00D54A9E">
      <w:pPr>
        <w:spacing w:line="276" w:lineRule="auto"/>
        <w:jc w:val="both"/>
        <w:rPr>
          <w:rFonts w:ascii="Arial" w:hAnsi="Arial" w:cs="Arial"/>
        </w:rPr>
      </w:pPr>
    </w:p>
    <w:tbl>
      <w:tblPr>
        <w:tblStyle w:val="Tabelacomgrade"/>
        <w:tblW w:w="9300" w:type="dxa"/>
        <w:jc w:val="center"/>
        <w:tblLook w:val="04A0" w:firstRow="1" w:lastRow="0" w:firstColumn="1" w:lastColumn="0" w:noHBand="0" w:noVBand="1"/>
      </w:tblPr>
      <w:tblGrid>
        <w:gridCol w:w="2690"/>
        <w:gridCol w:w="3122"/>
        <w:gridCol w:w="1827"/>
        <w:gridCol w:w="1661"/>
      </w:tblGrid>
      <w:tr w:rsidR="00005744" w:rsidRPr="00D54A9E" w14:paraId="762AE683" w14:textId="77777777" w:rsidTr="00D50031">
        <w:trPr>
          <w:jc w:val="center"/>
        </w:trPr>
        <w:tc>
          <w:tcPr>
            <w:tcW w:w="2690" w:type="dxa"/>
            <w:shd w:val="clear" w:color="auto" w:fill="auto"/>
            <w:tcMar>
              <w:left w:w="108" w:type="dxa"/>
            </w:tcMar>
            <w:vAlign w:val="center"/>
          </w:tcPr>
          <w:p w14:paraId="10D35863"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Órgão/Unidade Orçamentária</w:t>
            </w:r>
          </w:p>
        </w:tc>
        <w:tc>
          <w:tcPr>
            <w:tcW w:w="3122" w:type="dxa"/>
            <w:shd w:val="clear" w:color="auto" w:fill="auto"/>
            <w:tcMar>
              <w:left w:w="108" w:type="dxa"/>
            </w:tcMar>
            <w:vAlign w:val="center"/>
          </w:tcPr>
          <w:p w14:paraId="16F285B7"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Programa de Trabalho</w:t>
            </w:r>
          </w:p>
        </w:tc>
        <w:tc>
          <w:tcPr>
            <w:tcW w:w="1827" w:type="dxa"/>
            <w:shd w:val="clear" w:color="auto" w:fill="auto"/>
            <w:tcMar>
              <w:left w:w="108" w:type="dxa"/>
            </w:tcMar>
            <w:vAlign w:val="center"/>
          </w:tcPr>
          <w:p w14:paraId="71007659"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Fonte de Recursos</w:t>
            </w:r>
          </w:p>
        </w:tc>
        <w:tc>
          <w:tcPr>
            <w:tcW w:w="1661" w:type="dxa"/>
            <w:shd w:val="clear" w:color="auto" w:fill="auto"/>
            <w:tcMar>
              <w:left w:w="108" w:type="dxa"/>
            </w:tcMar>
            <w:vAlign w:val="center"/>
          </w:tcPr>
          <w:p w14:paraId="39C92F5D"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Natureza da Despesa</w:t>
            </w:r>
          </w:p>
        </w:tc>
      </w:tr>
      <w:tr w:rsidR="00005744" w:rsidRPr="00D54A9E" w14:paraId="2D22D530" w14:textId="77777777" w:rsidTr="00D50031">
        <w:trPr>
          <w:jc w:val="center"/>
        </w:trPr>
        <w:tc>
          <w:tcPr>
            <w:tcW w:w="2690" w:type="dxa"/>
            <w:shd w:val="clear" w:color="auto" w:fill="auto"/>
            <w:tcMar>
              <w:left w:w="108" w:type="dxa"/>
            </w:tcMar>
            <w:vAlign w:val="center"/>
          </w:tcPr>
          <w:p w14:paraId="66DA26B9"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Hospital Maternidade Dr. Mário Dutra de Castro</w:t>
            </w:r>
          </w:p>
        </w:tc>
        <w:tc>
          <w:tcPr>
            <w:tcW w:w="3122" w:type="dxa"/>
            <w:shd w:val="clear" w:color="auto" w:fill="auto"/>
            <w:tcMar>
              <w:left w:w="108" w:type="dxa"/>
            </w:tcMar>
            <w:vAlign w:val="center"/>
          </w:tcPr>
          <w:p w14:paraId="5A0C8037"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30001.10.302.0085.2.203</w:t>
            </w:r>
          </w:p>
        </w:tc>
        <w:tc>
          <w:tcPr>
            <w:tcW w:w="1827" w:type="dxa"/>
            <w:shd w:val="clear" w:color="auto" w:fill="auto"/>
            <w:tcMar>
              <w:left w:w="108" w:type="dxa"/>
            </w:tcMar>
            <w:vAlign w:val="center"/>
          </w:tcPr>
          <w:p w14:paraId="2C9FA53C"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33.90.32-02</w:t>
            </w:r>
          </w:p>
        </w:tc>
        <w:tc>
          <w:tcPr>
            <w:tcW w:w="1661" w:type="dxa"/>
            <w:shd w:val="clear" w:color="auto" w:fill="auto"/>
            <w:tcMar>
              <w:left w:w="108" w:type="dxa"/>
            </w:tcMar>
            <w:vAlign w:val="center"/>
          </w:tcPr>
          <w:p w14:paraId="0392ADD1"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1600/1621</w:t>
            </w:r>
          </w:p>
        </w:tc>
      </w:tr>
    </w:tbl>
    <w:p w14:paraId="2C595700" w14:textId="77777777" w:rsidR="00005744" w:rsidRPr="00D54A9E" w:rsidRDefault="00005744" w:rsidP="00D54A9E">
      <w:pPr>
        <w:spacing w:line="276" w:lineRule="auto"/>
        <w:rPr>
          <w:rFonts w:ascii="Arial" w:hAnsi="Arial" w:cs="Arial"/>
        </w:rPr>
      </w:pPr>
    </w:p>
    <w:p w14:paraId="7A6B5631" w14:textId="3146A65A" w:rsidR="00005744" w:rsidRPr="00D54A9E" w:rsidRDefault="00005744" w:rsidP="00D54A9E">
      <w:pPr>
        <w:pStyle w:val="PargrafodaLista"/>
        <w:numPr>
          <w:ilvl w:val="1"/>
          <w:numId w:val="16"/>
        </w:numPr>
        <w:spacing w:line="276" w:lineRule="auto"/>
        <w:ind w:left="0" w:firstLine="0"/>
        <w:jc w:val="both"/>
        <w:rPr>
          <w:rFonts w:ascii="Arial" w:hAnsi="Arial" w:cs="Arial"/>
        </w:rPr>
      </w:pPr>
      <w:r w:rsidRPr="00D54A9E">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40F83726" w:rsidR="00D90EA5" w:rsidRPr="008C13A3" w:rsidRDefault="00D90EA5" w:rsidP="00005744">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005744">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005744">
      <w:pPr>
        <w:pStyle w:val="PargrafodaLista"/>
        <w:numPr>
          <w:ilvl w:val="1"/>
          <w:numId w:val="16"/>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005744">
      <w:pPr>
        <w:pStyle w:val="Nivel010"/>
        <w:numPr>
          <w:ilvl w:val="0"/>
          <w:numId w:val="16"/>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005744">
      <w:pPr>
        <w:pStyle w:val="Nivel010"/>
        <w:numPr>
          <w:ilvl w:val="0"/>
          <w:numId w:val="16"/>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005744">
      <w:pPr>
        <w:pStyle w:val="PargrafodaLista"/>
        <w:numPr>
          <w:ilvl w:val="1"/>
          <w:numId w:val="16"/>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005744">
      <w:pPr>
        <w:pStyle w:val="PargrafodaLista"/>
        <w:numPr>
          <w:ilvl w:val="1"/>
          <w:numId w:val="16"/>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C8A9" w14:textId="77777777" w:rsidR="00394702" w:rsidRDefault="00394702">
      <w:r>
        <w:separator/>
      </w:r>
    </w:p>
  </w:endnote>
  <w:endnote w:type="continuationSeparator" w:id="0">
    <w:p w14:paraId="23FADE91" w14:textId="77777777" w:rsidR="00394702" w:rsidRDefault="00394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7AC23" w14:textId="77777777" w:rsidR="00394702" w:rsidRDefault="00394702">
      <w:r>
        <w:separator/>
      </w:r>
    </w:p>
  </w:footnote>
  <w:footnote w:type="continuationSeparator" w:id="0">
    <w:p w14:paraId="2B0FF940" w14:textId="77777777" w:rsidR="00394702" w:rsidRDefault="00394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9" w15:restartNumberingAfterBreak="0">
    <w:nsid w:val="405247BD"/>
    <w:multiLevelType w:val="multilevel"/>
    <w:tmpl w:val="884E9900"/>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0" w15:restartNumberingAfterBreak="0">
    <w:nsid w:val="4E6A7FA6"/>
    <w:multiLevelType w:val="multilevel"/>
    <w:tmpl w:val="C2BC52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3" w15:restartNumberingAfterBreak="0">
    <w:nsid w:val="74497085"/>
    <w:multiLevelType w:val="multilevel"/>
    <w:tmpl w:val="DB8643C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D322B46"/>
    <w:multiLevelType w:val="multilevel"/>
    <w:tmpl w:val="704458A2"/>
    <w:lvl w:ilvl="0">
      <w:start w:val="6"/>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b w:val="0"/>
        <w:bCs w:val="0"/>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5"/>
  </w:num>
  <w:num w:numId="7">
    <w:abstractNumId w:val="4"/>
  </w:num>
  <w:num w:numId="8">
    <w:abstractNumId w:val="11"/>
  </w:num>
  <w:num w:numId="9">
    <w:abstractNumId w:val="7"/>
  </w:num>
  <w:num w:numId="10">
    <w:abstractNumId w:val="8"/>
  </w:num>
  <w:num w:numId="11">
    <w:abstractNumId w:val="3"/>
  </w:num>
  <w:num w:numId="12">
    <w:abstractNumId w:val="13"/>
  </w:num>
  <w:num w:numId="13">
    <w:abstractNumId w:val="10"/>
  </w:num>
  <w:num w:numId="14">
    <w:abstractNumId w:val="12"/>
  </w:num>
  <w:num w:numId="15">
    <w:abstractNumId w:val="9"/>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5744"/>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B2969"/>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3D31"/>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C671C"/>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4702"/>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2608"/>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648E"/>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3FD8"/>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54A9E"/>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96648E"/>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96648E"/>
    <w:rPr>
      <w:rFonts w:ascii="Verdana" w:eastAsia="Verdana" w:hAnsi="Verdana" w:cs="Verdana"/>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14</Pages>
  <Words>5674</Words>
  <Characters>30640</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45</cp:revision>
  <cp:lastPrinted>2025-11-19T13:57:00Z</cp:lastPrinted>
  <dcterms:created xsi:type="dcterms:W3CDTF">2023-08-18T18:10:00Z</dcterms:created>
  <dcterms:modified xsi:type="dcterms:W3CDTF">2025-11-19T13:57:00Z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